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7" w:name="homiletics-analysis-obadiah-1"/>
    <w:p>
      <w:pPr>
        <w:pStyle w:val="Heading1"/>
      </w:pPr>
      <w:r>
        <w:t xml:space="preserve">Homiletics Analysis: Obadiah 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Obadiah is the shortest book in the Old Testament — a single chapter of twenty-one verses — and it arrives with singular, driving force: the judgment of Edom and the vindication of Israel. The book opens with a divine summons to the nations to rise against Edom (vv. 1–4), then prosecutes Edom’s crimes in devastating detail — her pride rooted in geographic security (vv. 3–4), the stripping of her alliances and wisdom (vv. 5–9), and the specific offense of standing by, gloating, plundering, and cutting off fugitives when Jerusalem fell to her enemies (vv. 10–14). The prophet pivots in verse 15 to the Day of the LORD — a principle of divine moral symmetry:</w:t>
      </w:r>
      <w:r>
        <w:t xml:space="preserve"> </w:t>
      </w:r>
      <w:r>
        <w:t xml:space="preserve">“As you have done, it will be done to you; your deeds will return upon your own head.”</w:t>
      </w:r>
      <w:r>
        <w:t xml:space="preserve"> </w:t>
      </w:r>
      <w:r>
        <w:t xml:space="preserve">The final movement (vv. 17–21) looks beyond judgment to restoration: Zion will be a holy mountain, the house of Jacob will possess its inheritance, and the kingdom will be the LORD’s. The accusation, the verdict, the sentence, and the ultimate horizon of covenant restoration are all present in these twenty-one verses.</w:t>
      </w:r>
    </w:p>
    <w:p>
      <w:pPr>
        <w:pStyle w:val="BodyText"/>
      </w:pPr>
      <w:r>
        <w:rPr>
          <w:b/>
          <w:bCs/>
        </w:rPr>
        <w:t xml:space="preserve">This Text — Intent:</w:t>
      </w:r>
    </w:p>
    <w:p>
      <w:pPr>
        <w:pStyle w:val="BodyText"/>
      </w:pPr>
      <w:r>
        <w:t xml:space="preserve">God’s intent through Obadiah moves on two tracks simultaneously. To Edom — and to every nation that stands in Edom’s posture — the intent is warning: pride, opportunistic cruelty, and anti-covenant malice invite the moral logic of the Day of the LORD to operate against you, not for you. To Israel — to God’s people who have watched their city burn and their neighbors exult — the intent is assurance: the LORD has not forgotten, the nations do not operate outside His government, and the covenant promise of inheritance and kingdom restoration stands. The effect God is seeking to produce is a transferred confidence — from circumstances (Jerusalem is burning, Edom is secure in her rocks) to covenant (the LORD reigns, and the Day of the LORD is coming for everyone). Obadiah preaches the sovereignty of God over the nations as pastoral medicine for a people in ruins.</w:t>
      </w:r>
    </w:p>
    <w:p>
      <w:r>
        <w:pict>
          <v:rect style="width:0;height:1.5pt" o:hralign="center" o:hrstd="t" o:hr="t"/>
        </w:pict>
      </w:r>
    </w:p>
    <w:p>
      <w:pPr>
        <w:pStyle w:val="FirstParagraph"/>
      </w:pPr>
      <w:r>
        <w:rPr>
          <w:b/>
          <w:bCs/>
        </w:rPr>
        <w:t xml:space="preserve">Subject Sentence:</w:t>
      </w:r>
      <w:r>
        <w:t xml:space="preserve"> </w:t>
      </w:r>
      <w:r>
        <w:t xml:space="preserve">Edom’s pride and covenant betrayal meet the LORD’s justice and Israel’s ultimate vindication.</w:t>
      </w:r>
    </w:p>
    <w:p>
      <w:r>
        <w:pict>
          <v:rect style="width:0;height:1.5pt" o:hralign="center" o:hrstd="t" o:hr="t"/>
        </w:pict>
      </w:r>
    </w:p>
    <w:p>
      <w:pPr>
        <w:pStyle w:val="FirstParagraph"/>
      </w:pPr>
      <w:r>
        <w:rPr>
          <w:b/>
          <w:bCs/>
        </w:rPr>
        <w:t xml:space="preserve">Primary Claim:</w:t>
      </w:r>
      <w:r>
        <w:t xml:space="preserve"> </w:t>
      </w:r>
      <w:r>
        <w:t xml:space="preserve">The LORD is the sovereign judge of the nations — Edom’s pride and treachery will be repaid in kind, and His covenant people will be vindicated — which means no enemy’s apparent triumph is final, and no act of covenant cruelty goes unaccounted.</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 Edom and Hermeneutical Range:</w:t>
      </w:r>
      <w:r>
        <w:t xml:space="preserve"> </w:t>
      </w:r>
      <w:r>
        <w:t xml:space="preserve">The first interpretive question is whether Obadiah addresses historical Edom exclusively, or whether Edom functions typologically as a representative of all nations hostile to God’s covenant people. The historical referent is not in dispute: the Edomites were the descendants of Esau, Israel’s near-kinsman and hereditary adversary, and the specific behaviors described in verses 10–14 correspond to identifiable historical events, most likely related to the Babylonian destruction of Jerusalem in 587 BC. However, the pivot to</w:t>
      </w:r>
      <w:r>
        <w:t xml:space="preserve"> </w:t>
      </w:r>
      <w:r>
        <w:t xml:space="preserve">“the Day of the LORD”</w:t>
      </w:r>
      <w:r>
        <w:t xml:space="preserve"> </w:t>
      </w:r>
      <w:r>
        <w:t xml:space="preserve">in verse 15 — with its universal scope (</w:t>
      </w:r>
      <w:r>
        <w:t xml:space="preserve">“for all the nations is near”</w:t>
      </w:r>
      <w:r>
        <w:t xml:space="preserve">) — signals that Edom is both a specific target and a paradigmatic case. Verses 15–21 apply the principle beyond Edom to all nations. Reformed interpreters rightly hold both levels: the historical Edom is judged, and Edom simultaneously embodies the posture of every nation that exalts itself against the LORD’s purposes. This canonical extension is warranted by the text itself, not imposed.</w:t>
      </w:r>
    </w:p>
    <w:p>
      <w:pPr>
        <w:pStyle w:val="BodyText"/>
      </w:pPr>
      <w:r>
        <w:rPr>
          <w:b/>
          <w:bCs/>
        </w:rPr>
        <w:t xml:space="preserve">The Nature of the</w:t>
      </w:r>
      <w:r>
        <w:rPr>
          <w:b/>
          <w:bCs/>
        </w:rPr>
        <w:t xml:space="preserve"> </w:t>
      </w:r>
      <w:r>
        <w:rPr>
          <w:b/>
          <w:bCs/>
        </w:rPr>
        <w:t xml:space="preserve">“Day of the LORD”</w:t>
      </w:r>
      <w:r>
        <w:rPr>
          <w:b/>
          <w:bCs/>
        </w:rPr>
        <w:t xml:space="preserve"> </w:t>
      </w:r>
      <w:r>
        <w:rPr>
          <w:b/>
          <w:bCs/>
        </w:rPr>
        <w:t xml:space="preserve">— Eschatological vs. Historical:</w:t>
      </w:r>
      <w:r>
        <w:t xml:space="preserve"> </w:t>
      </w:r>
      <w:r>
        <w:t xml:space="preserve">Dispensational interpretation tends to read verses 15–21 as referring primarily to a future, climactic eschatological event — the literal restoration of Israel’s national borders, the literal destruction of Edom’s territory in the tribulation period, and the literal reign of Israel over surrounding nations. This reading has the advantage of taking the geographic specificity of verses 19–20 seriously. It should be</w:t>
      </w:r>
      <w:r>
        <w:t xml:space="preserve"> </w:t>
      </w:r>
      <w:r>
        <w:rPr>
          <w:i/>
          <w:iCs/>
        </w:rPr>
        <w:t xml:space="preserve">acknowledged</w:t>
      </w:r>
      <w:r>
        <w:t xml:space="preserve"> </w:t>
      </w:r>
      <w:r>
        <w:t xml:space="preserve">that the Day of the LORD passages throughout the prophets carry genuine eschatological force that should not be collapsed into purely historical fulfillment. However, the Reformed reading — grounded in the analogy of Scripture and the New Testament’s own hermeneutical practice — understands these restoration promises as fulfilled in Christ and the church as the new covenant community, the true Israel. The</w:t>
      </w:r>
      <w:r>
        <w:t xml:space="preserve"> </w:t>
      </w:r>
      <w:r>
        <w:t xml:space="preserve">“kingdom shall be the LORD’s”</w:t>
      </w:r>
      <w:r>
        <w:t xml:space="preserve"> </w:t>
      </w:r>
      <w:r>
        <w:t xml:space="preserve">(v. 21) reaches its ultimate fulfillment in Christ’s reign, not in a restored Davidic national state. The geographic particularity is real, but it functions as concrete imagery for the comprehensive reign of God over all creation — a pattern consistent with how the New Testament reads the prophets (cf. Amos 9:11–12 cited in Acts 15:16–17). The dispensational reading may be</w:t>
      </w:r>
      <w:r>
        <w:t xml:space="preserve"> </w:t>
      </w:r>
      <w:r>
        <w:rPr>
          <w:i/>
          <w:iCs/>
        </w:rPr>
        <w:t xml:space="preserve">qualified</w:t>
      </w:r>
      <w:r>
        <w:t xml:space="preserve">: it rightly resists over-spiritualization of these promises, but it under-reads the New Testament’s own fulfillment hermeneutic.</w:t>
      </w:r>
    </w:p>
    <w:p>
      <w:pPr>
        <w:pStyle w:val="BodyText"/>
      </w:pPr>
      <w:r>
        <w:rPr>
          <w:b/>
          <w:bCs/>
        </w:rPr>
        <w:t xml:space="preserve">Edom’s Guilt — Passive vs. Active Complicity:</w:t>
      </w:r>
      <w:r>
        <w:t xml:space="preserve"> </w:t>
      </w:r>
      <w:r>
        <w:t xml:space="preserve">Some interpreters soften Edom’s guilt by reading the prohibitions of verses 12–14 (</w:t>
      </w:r>
      <w:r>
        <w:t xml:space="preserve">“Do not gloat… do not march through… do not loot”</w:t>
      </w:r>
      <w:r>
        <w:t xml:space="preserve">) as hypothetical or future-oriented rather than as accusations of completed acts. This reading would mean Edom is being warned not to repeat such actions, rather than condemned for having done them. This reading is not persuasive. The context of verse 10 —</w:t>
      </w:r>
      <w:r>
        <w:t xml:space="preserve"> </w:t>
      </w:r>
      <w:r>
        <w:t xml:space="preserve">“Because of the violence done to your brother Jacob, shame will cover you”</w:t>
      </w:r>
      <w:r>
        <w:t xml:space="preserve"> </w:t>
      </w:r>
      <w:r>
        <w:t xml:space="preserve">— clearly establishes an accusation of completed guilt. The prohibitions in verses 12–14 are a rhetorical device (a kind of tragic-irony:</w:t>
      </w:r>
      <w:r>
        <w:t xml:space="preserve"> </w:t>
      </w:r>
      <w:r>
        <w:t xml:space="preserve">“you should not have done what you did”</w:t>
      </w:r>
      <w:r>
        <w:t xml:space="preserve">), not prospective warnings. Reformed exegetes are right to</w:t>
      </w:r>
      <w:r>
        <w:t xml:space="preserve"> </w:t>
      </w:r>
      <w:r>
        <w:rPr>
          <w:i/>
          <w:iCs/>
        </w:rPr>
        <w:t xml:space="preserve">refute</w:t>
      </w:r>
      <w:r>
        <w:t xml:space="preserve"> </w:t>
      </w:r>
      <w:r>
        <w:t xml:space="preserve">the softened reading: Edom’s guilt is not hypothetical. This matters for application — the passage is not merely preventative instruction but a genuine indictment with moral weight.</w:t>
      </w:r>
    </w:p>
    <w:p>
      <w:pPr>
        <w:pStyle w:val="BodyText"/>
      </w:pPr>
      <w:r>
        <w:rPr>
          <w:b/>
          <w:bCs/>
        </w:rPr>
        <w:t xml:space="preserve">Salvation for Edom? — Mercy and Judgment:</w:t>
      </w:r>
      <w:r>
        <w:t xml:space="preserve"> </w:t>
      </w:r>
      <w:r>
        <w:t xml:space="preserve">Some interpreters ask whether Obadiah leaves any room for Edomite repentance or salvation. The book does not address this question directly, and interpreters should not supply an answer the text does not give. The canonical witness elsewhere (Amos 9:12 LXX / Acts 15:17 suggests even Edom among the Gentiles coming under Christ’s name) shows that the gospel eventually breaks through ethnic and national hostility categories. Preachers should not import that hopeful note into Obadiah in a way that softens the judgment it pronounces — but they may note, with appropriate restraint, that the canonical story is larger than any single nation’s verdict.</w:t>
      </w:r>
    </w:p>
    <w:p>
      <w:pPr>
        <w:pStyle w:val="BodyText"/>
      </w:pPr>
      <w:r>
        <w:rPr>
          <w:b/>
          <w:bCs/>
        </w:rPr>
        <w:t xml:space="preserve">The Reformed reading</w:t>
      </w:r>
      <w:r>
        <w:t xml:space="preserve"> </w:t>
      </w:r>
      <w:r>
        <w:t xml:space="preserve">preferred here: Obadiah addresses historical Edom with genuine specificity, pronounces the universal principle of the Day of the LORD (moral symmetry: what you have done will be done to you), and aims the hope of restoration at the covenant people — a hope that finds its ultimate fulfillment in Christ’s kingdom. The text is neither pure national history nor free-floating eschatology: it is the LORD governing the nations in real time for the sake of His covenant purposes, which find their goal in Christ.</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Genesis 25:19–34; 27:41</w:t>
      </w:r>
      <w:r>
        <w:t xml:space="preserve"> </w:t>
      </w:r>
      <w:r>
        <w:t xml:space="preserve">— The Esau-Jacob rivalry at its origin: the birthright despised, the blessing contested, and Esau’s hatred vowed. Obadiah is the theological settling of an ancient account.</w:t>
      </w:r>
    </w:p>
    <w:p>
      <w:pPr>
        <w:pStyle w:val="Compact"/>
        <w:numPr>
          <w:ilvl w:val="0"/>
          <w:numId w:val="1001"/>
        </w:numPr>
      </w:pPr>
      <w:r>
        <w:rPr>
          <w:b/>
          <w:bCs/>
        </w:rPr>
        <w:t xml:space="preserve">Amos 9:11–12</w:t>
      </w:r>
      <w:r>
        <w:t xml:space="preserve"> </w:t>
      </w:r>
      <w:r>
        <w:t xml:space="preserve">—</w:t>
      </w:r>
      <w:r>
        <w:t xml:space="preserve"> </w:t>
      </w:r>
      <w:r>
        <w:t xml:space="preserve">“I will restore David’s fallen tent… so that they may possess the remnant of Edom”</w:t>
      </w:r>
      <w:r>
        <w:t xml:space="preserve"> </w:t>
      </w:r>
      <w:r>
        <w:t xml:space="preserve">— cited in Acts 15:16–17 to ground Gentile inclusion in the new covenant community; establishes the canonical trajectory of Edom’s story beyond Obadiah’s judgment.</w:t>
      </w:r>
    </w:p>
    <w:p>
      <w:pPr>
        <w:pStyle w:val="Compact"/>
        <w:numPr>
          <w:ilvl w:val="0"/>
          <w:numId w:val="1001"/>
        </w:numPr>
      </w:pPr>
      <w:r>
        <w:rPr>
          <w:b/>
          <w:bCs/>
        </w:rPr>
        <w:t xml:space="preserve">Lamentations 4:21–22</w:t>
      </w:r>
      <w:r>
        <w:t xml:space="preserve"> </w:t>
      </w:r>
      <w:r>
        <w:t xml:space="preserve">—</w:t>
      </w:r>
      <w:r>
        <w:t xml:space="preserve"> </w:t>
      </w:r>
      <w:r>
        <w:t xml:space="preserve">“Rejoice and be glad, Daughter Edom… But to you also the cup will be passed; you will be drunk and stripped naked”</w:t>
      </w:r>
      <w:r>
        <w:t xml:space="preserve"> </w:t>
      </w:r>
      <w:r>
        <w:t xml:space="preserve">— corroborates Obadiah’s charge against Edom at the fall of Jerusalem and the coming reversal.</w:t>
      </w:r>
    </w:p>
    <w:p>
      <w:pPr>
        <w:pStyle w:val="Compact"/>
        <w:numPr>
          <w:ilvl w:val="0"/>
          <w:numId w:val="1001"/>
        </w:numPr>
      </w:pPr>
      <w:r>
        <w:rPr>
          <w:b/>
          <w:bCs/>
        </w:rPr>
        <w:t xml:space="preserve">Romans 12:19</w:t>
      </w:r>
      <w:r>
        <w:t xml:space="preserve"> </w:t>
      </w:r>
      <w:r>
        <w:t xml:space="preserve">—</w:t>
      </w:r>
      <w:r>
        <w:t xml:space="preserve"> </w:t>
      </w:r>
      <w:r>
        <w:t xml:space="preserve">“Vengeance is mine; I will repay, says the Lord”</w:t>
      </w:r>
      <w:r>
        <w:t xml:space="preserve"> </w:t>
      </w:r>
      <w:r>
        <w:t xml:space="preserve">— grounds the Day of the LORD principle theologically: divine moral symmetry is not primitive tribalism but the LORD’s prerogative as the only righteous judge.</w:t>
      </w:r>
    </w:p>
    <w:p>
      <w:pPr>
        <w:pStyle w:val="Compact"/>
        <w:numPr>
          <w:ilvl w:val="0"/>
          <w:numId w:val="1001"/>
        </w:numPr>
      </w:pPr>
      <w:r>
        <w:rPr>
          <w:b/>
          <w:bCs/>
        </w:rPr>
        <w:t xml:space="preserve">Revelation 11:15</w:t>
      </w:r>
      <w:r>
        <w:t xml:space="preserve"> </w:t>
      </w:r>
      <w:r>
        <w:t xml:space="preserve">—</w:t>
      </w:r>
      <w:r>
        <w:t xml:space="preserve"> </w:t>
      </w:r>
      <w:r>
        <w:t xml:space="preserve">“The kingdom of the world has become the kingdom of our Lord and of his Messiah”</w:t>
      </w:r>
      <w:r>
        <w:t xml:space="preserve"> </w:t>
      </w:r>
      <w:r>
        <w:t xml:space="preserve">— the eschatological fulfillment of Obadiah 21’s final word:</w:t>
      </w:r>
      <w:r>
        <w:t xml:space="preserve"> </w:t>
      </w:r>
      <w:r>
        <w:t xml:space="preserve">“The kingdom will be the LORD’s.”</w:t>
      </w:r>
    </w:p>
    <w:p>
      <w:r>
        <w:pict>
          <v:rect style="width:0;height:1.5pt" o:hralign="center" o:hrstd="t" o:hr="t"/>
        </w:pict>
      </w:r>
    </w:p>
    <w:p>
      <w:pPr>
        <w:pStyle w:val="FirstParagraph"/>
      </w:pPr>
      <w:r>
        <w:rPr>
          <w:b/>
          <w:bCs/>
        </w:rPr>
        <w:t xml:space="preserve">Aim:</w:t>
      </w:r>
      <w:r>
        <w:t xml:space="preserve"> </w:t>
      </w:r>
      <w:r>
        <w:t xml:space="preserve">To demonstrate from Obadiah that God’s sovereignty over the nations — His just judgment of pride and covenant cruelty, and His vindication of His people — is the sure foundation of hope for believers living in circumstances where the wicked appear to prosper and God’s people appear to suffer.</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Title; divine summons — a messenger sent to the nations to rise against Edom</w:t>
            </w:r>
          </w:p>
        </w:tc>
        <w:tc>
          <w:tcPr/>
          <w:p>
            <w:pPr>
              <w:pStyle w:val="Compact"/>
            </w:pPr>
            <w:r>
              <w:t xml:space="preserve">“We have heard a report from the LORD”</w:t>
            </w:r>
            <w:r>
              <w:t xml:space="preserve"> </w:t>
            </w:r>
            <w:r>
              <w:t xml:space="preserve">— prophetic authority established immediately</w:t>
            </w:r>
          </w:p>
        </w:tc>
      </w:tr>
      <w:tr>
        <w:tc>
          <w:tcPr/>
          <w:p>
            <w:pPr>
              <w:pStyle w:val="Compact"/>
            </w:pPr>
            <w:r>
              <w:t xml:space="preserve">2–4</w:t>
            </w:r>
          </w:p>
        </w:tc>
        <w:tc>
          <w:tcPr/>
          <w:p>
            <w:pPr>
              <w:pStyle w:val="Compact"/>
            </w:pPr>
            <w:r>
              <w:t xml:space="preserve">Edom’s pride condemned — her confidence in mountain strongholds (Petra/Sela region)</w:t>
            </w:r>
          </w:p>
        </w:tc>
        <w:tc>
          <w:tcPr/>
          <w:p>
            <w:pPr>
              <w:pStyle w:val="Compact"/>
            </w:pPr>
            <w:r>
              <w:t xml:space="preserve">“Though you soar like the eagle… I will bring you down”</w:t>
            </w:r>
            <w:r>
              <w:t xml:space="preserve"> </w:t>
            </w:r>
            <w:r>
              <w:t xml:space="preserve">— height imagery inverted</w:t>
            </w:r>
          </w:p>
        </w:tc>
      </w:tr>
      <w:tr>
        <w:tc>
          <w:tcPr/>
          <w:p>
            <w:pPr>
              <w:pStyle w:val="Compact"/>
            </w:pPr>
            <w:r>
              <w:t xml:space="preserve">5–7</w:t>
            </w:r>
          </w:p>
        </w:tc>
        <w:tc>
          <w:tcPr/>
          <w:p>
            <w:pPr>
              <w:pStyle w:val="Compact"/>
            </w:pPr>
            <w:r>
              <w:t xml:space="preserve">Edom’s destruction will exceed ordinary plunder — her allies will turn against her</w:t>
            </w:r>
          </w:p>
        </w:tc>
        <w:tc>
          <w:tcPr/>
          <w:p>
            <w:pPr>
              <w:pStyle w:val="Compact"/>
            </w:pPr>
            <w:r>
              <w:t xml:space="preserve">“How completely Esau will be ransacked”</w:t>
            </w:r>
            <w:r>
              <w:t xml:space="preserve"> </w:t>
            </w:r>
            <w:r>
              <w:t xml:space="preserve">— thoroughness of divine judgment; wisdom departs</w:t>
            </w:r>
          </w:p>
        </w:tc>
      </w:tr>
      <w:tr>
        <w:tc>
          <w:tcPr/>
          <w:p>
            <w:pPr>
              <w:pStyle w:val="Compact"/>
            </w:pPr>
            <w:r>
              <w:t xml:space="preserve">8–9</w:t>
            </w:r>
          </w:p>
        </w:tc>
        <w:tc>
          <w:tcPr/>
          <w:p>
            <w:pPr>
              <w:pStyle w:val="Compact"/>
            </w:pPr>
            <w:r>
              <w:t xml:space="preserve">Edom’s sages and warriors will fail her</w:t>
            </w:r>
          </w:p>
        </w:tc>
        <w:tc>
          <w:tcPr/>
          <w:p>
            <w:pPr>
              <w:pStyle w:val="Compact"/>
            </w:pPr>
            <w:r>
              <w:t xml:space="preserve">Wisdom and might — Edom’s two great sources of pride — both destroyed</w:t>
            </w:r>
          </w:p>
        </w:tc>
      </w:tr>
      <w:tr>
        <w:tc>
          <w:tcPr/>
          <w:p>
            <w:pPr>
              <w:pStyle w:val="Compact"/>
            </w:pPr>
            <w:r>
              <w:t xml:space="preserve">10</w:t>
            </w:r>
          </w:p>
        </w:tc>
        <w:tc>
          <w:tcPr/>
          <w:p>
            <w:pPr>
              <w:pStyle w:val="Compact"/>
            </w:pPr>
            <w:r>
              <w:t xml:space="preserve">Summary charge: violence against Jacob; consequence: shame and permanent destruction</w:t>
            </w:r>
          </w:p>
        </w:tc>
        <w:tc>
          <w:tcPr/>
          <w:p>
            <w:pPr>
              <w:pStyle w:val="Compact"/>
            </w:pPr>
            <w:r>
              <w:t xml:space="preserve">“Your brother Jacob”</w:t>
            </w:r>
            <w:r>
              <w:t xml:space="preserve"> </w:t>
            </w:r>
            <w:r>
              <w:t xml:space="preserve">— kinship makes the betrayal worse, not better</w:t>
            </w:r>
          </w:p>
        </w:tc>
      </w:tr>
      <w:tr>
        <w:tc>
          <w:tcPr/>
          <w:p>
            <w:pPr>
              <w:pStyle w:val="Compact"/>
            </w:pPr>
            <w:r>
              <w:t xml:space="preserve">11</w:t>
            </w:r>
          </w:p>
        </w:tc>
        <w:tc>
          <w:tcPr/>
          <w:p>
            <w:pPr>
              <w:pStyle w:val="Compact"/>
            </w:pPr>
            <w:r>
              <w:t xml:space="preserve">Edom stood aloof when Jerusalem was attacked; she stood with the foreigners</w:t>
            </w:r>
          </w:p>
        </w:tc>
        <w:tc>
          <w:tcPr/>
          <w:p>
            <w:pPr>
              <w:pStyle w:val="Compact"/>
            </w:pPr>
            <w:r>
              <w:t xml:space="preserve">Passive complicity:</w:t>
            </w:r>
            <w:r>
              <w:t xml:space="preserve"> </w:t>
            </w:r>
            <w:r>
              <w:t xml:space="preserve">“You were like one of them”</w:t>
            </w:r>
            <w:r>
              <w:t xml:space="preserve"> </w:t>
            </w:r>
            <w:r>
              <w:t xml:space="preserve">— neutrality is a moral verdict</w:t>
            </w:r>
          </w:p>
        </w:tc>
      </w:tr>
      <w:tr>
        <w:tc>
          <w:tcPr/>
          <w:p>
            <w:pPr>
              <w:pStyle w:val="Compact"/>
            </w:pPr>
            <w:r>
              <w:t xml:space="preserve">12–14</w:t>
            </w:r>
          </w:p>
        </w:tc>
        <w:tc>
          <w:tcPr/>
          <w:p>
            <w:pPr>
              <w:pStyle w:val="Compact"/>
            </w:pPr>
            <w:r>
              <w:t xml:space="preserve">Eight prohibitions — a catalogue of active sins: gloating, rejoicing, looting, cutting off fugitives</w:t>
            </w:r>
          </w:p>
        </w:tc>
        <w:tc>
          <w:tcPr/>
          <w:p>
            <w:pPr>
              <w:pStyle w:val="Compact"/>
            </w:pPr>
            <w:r>
              <w:t xml:space="preserve">Rhetorical accumulation — each prohibition a knife-point:</w:t>
            </w:r>
            <w:r>
              <w:t xml:space="preserve"> </w:t>
            </w:r>
            <w:r>
              <w:rPr>
                <w:i/>
                <w:iCs/>
              </w:rPr>
              <w:t xml:space="preserve">you should not have done this</w:t>
            </w:r>
          </w:p>
        </w:tc>
      </w:tr>
      <w:tr>
        <w:tc>
          <w:tcPr/>
          <w:p>
            <w:pPr>
              <w:pStyle w:val="Compact"/>
            </w:pPr>
            <w:r>
              <w:t xml:space="preserve">15</w:t>
            </w:r>
          </w:p>
        </w:tc>
        <w:tc>
          <w:tcPr/>
          <w:p>
            <w:pPr>
              <w:pStyle w:val="Compact"/>
            </w:pPr>
            <w:r>
              <w:t xml:space="preserve">The Day of the LORD is near for all nations; the principle of moral symmetry stated</w:t>
            </w:r>
          </w:p>
        </w:tc>
        <w:tc>
          <w:tcPr/>
          <w:p>
            <w:pPr>
              <w:pStyle w:val="Compact"/>
            </w:pPr>
            <w:r>
              <w:t xml:space="preserve">Pivot verse — particular (Edom) expands to universal (all nations)</w:t>
            </w:r>
          </w:p>
        </w:tc>
      </w:tr>
      <w:tr>
        <w:tc>
          <w:tcPr/>
          <w:p>
            <w:pPr>
              <w:pStyle w:val="Compact"/>
            </w:pPr>
            <w:r>
              <w:t xml:space="preserve">16</w:t>
            </w:r>
          </w:p>
        </w:tc>
        <w:tc>
          <w:tcPr/>
          <w:p>
            <w:pPr>
              <w:pStyle w:val="Compact"/>
            </w:pPr>
            <w:r>
              <w:t xml:space="preserve">The nations who drank on Zion’s mountain will drink God’s wrath; they will be as though they had never been</w:t>
            </w:r>
          </w:p>
        </w:tc>
        <w:tc>
          <w:tcPr/>
          <w:p>
            <w:pPr>
              <w:pStyle w:val="Compact"/>
            </w:pPr>
            <w:r>
              <w:t xml:space="preserve">The cup of blessing becomes a cup of judgment</w:t>
            </w:r>
          </w:p>
        </w:tc>
      </w:tr>
      <w:tr>
        <w:tc>
          <w:tcPr/>
          <w:p>
            <w:pPr>
              <w:pStyle w:val="Compact"/>
            </w:pPr>
            <w:r>
              <w:t xml:space="preserve">17–18</w:t>
            </w:r>
          </w:p>
        </w:tc>
        <w:tc>
          <w:tcPr/>
          <w:p>
            <w:pPr>
              <w:pStyle w:val="Compact"/>
            </w:pPr>
            <w:r>
              <w:t xml:space="preserve">But on Mount Zion there will be deliverance and holiness; Jacob will be a fire, Edom stubble</w:t>
            </w:r>
          </w:p>
        </w:tc>
        <w:tc>
          <w:tcPr/>
          <w:p>
            <w:pPr>
              <w:pStyle w:val="Compact"/>
            </w:pPr>
            <w:r>
              <w:t xml:space="preserve">Reversal: Zion’s fire versus Edom’s stubble</w:t>
            </w:r>
          </w:p>
        </w:tc>
      </w:tr>
      <w:tr>
        <w:tc>
          <w:tcPr/>
          <w:p>
            <w:pPr>
              <w:pStyle w:val="Compact"/>
            </w:pPr>
            <w:r>
              <w:t xml:space="preserve">19–20</w:t>
            </w:r>
          </w:p>
        </w:tc>
        <w:tc>
          <w:tcPr/>
          <w:p>
            <w:pPr>
              <w:pStyle w:val="Compact"/>
            </w:pPr>
            <w:r>
              <w:t xml:space="preserve">Geographic expansion of Jacob’s possession — encompassing former Edomite and Philistine territories</w:t>
            </w:r>
          </w:p>
        </w:tc>
        <w:tc>
          <w:tcPr/>
          <w:p>
            <w:pPr>
              <w:pStyle w:val="Compact"/>
            </w:pPr>
            <w:r>
              <w:t xml:space="preserve">Concreteness of restoration promise — real land, real borders</w:t>
            </w:r>
          </w:p>
        </w:tc>
      </w:tr>
      <w:tr>
        <w:tc>
          <w:tcPr/>
          <w:p>
            <w:pPr>
              <w:pStyle w:val="Compact"/>
            </w:pPr>
            <w:r>
              <w:t xml:space="preserve">21</w:t>
            </w:r>
          </w:p>
        </w:tc>
        <w:tc>
          <w:tcPr/>
          <w:p>
            <w:pPr>
              <w:pStyle w:val="Compact"/>
            </w:pPr>
            <w:r>
              <w:t xml:space="preserve">Deliverers will rule from Zion over Edom’s mountains; the kingdom will be the LORD’s</w:t>
            </w:r>
          </w:p>
        </w:tc>
        <w:tc>
          <w:tcPr/>
          <w:p>
            <w:pPr>
              <w:pStyle w:val="Compact"/>
            </w:pPr>
            <w:r>
              <w:t xml:space="preserve">Climax: not national triumph alone but theocratic fulfillment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1–9</w:t>
            </w:r>
          </w:p>
        </w:tc>
        <w:tc>
          <w:tcPr/>
          <w:p>
            <w:pPr>
              <w:pStyle w:val="Compact"/>
            </w:pPr>
            <w:r>
              <w:t xml:space="preserve">The Verdict Against Edom: Pride Precedes the Fall</w:t>
            </w:r>
          </w:p>
        </w:tc>
      </w:tr>
      <w:tr>
        <w:tc>
          <w:tcPr/>
          <w:p>
            <w:pPr>
              <w:pStyle w:val="Compact"/>
            </w:pPr>
            <w:r>
              <w:t xml:space="preserve">2</w:t>
            </w:r>
          </w:p>
        </w:tc>
        <w:tc>
          <w:tcPr/>
          <w:p>
            <w:pPr>
              <w:pStyle w:val="Compact"/>
            </w:pPr>
            <w:r>
              <w:t xml:space="preserve">10–14</w:t>
            </w:r>
          </w:p>
        </w:tc>
        <w:tc>
          <w:tcPr/>
          <w:p>
            <w:pPr>
              <w:pStyle w:val="Compact"/>
            </w:pPr>
            <w:r>
              <w:t xml:space="preserve">The Indictment: What Edom Did to Her Brother</w:t>
            </w:r>
          </w:p>
        </w:tc>
      </w:tr>
      <w:tr>
        <w:tc>
          <w:tcPr/>
          <w:p>
            <w:pPr>
              <w:pStyle w:val="Compact"/>
            </w:pPr>
            <w:r>
              <w:t xml:space="preserve">3</w:t>
            </w:r>
          </w:p>
        </w:tc>
        <w:tc>
          <w:tcPr/>
          <w:p>
            <w:pPr>
              <w:pStyle w:val="Compact"/>
            </w:pPr>
            <w:r>
              <w:t xml:space="preserve">15–16</w:t>
            </w:r>
          </w:p>
        </w:tc>
        <w:tc>
          <w:tcPr/>
          <w:p>
            <w:pPr>
              <w:pStyle w:val="Compact"/>
            </w:pPr>
            <w:r>
              <w:t xml:space="preserve">The Principle: The Day of the LORD and Moral Symmetry</w:t>
            </w:r>
          </w:p>
        </w:tc>
      </w:tr>
      <w:tr>
        <w:tc>
          <w:tcPr/>
          <w:p>
            <w:pPr>
              <w:pStyle w:val="Compact"/>
            </w:pPr>
            <w:r>
              <w:t xml:space="preserve">4</w:t>
            </w:r>
          </w:p>
        </w:tc>
        <w:tc>
          <w:tcPr/>
          <w:p>
            <w:pPr>
              <w:pStyle w:val="Compact"/>
            </w:pPr>
            <w:r>
              <w:t xml:space="preserve">17–21</w:t>
            </w:r>
          </w:p>
        </w:tc>
        <w:tc>
          <w:tcPr/>
          <w:p>
            <w:pPr>
              <w:pStyle w:val="Compact"/>
            </w:pPr>
            <w:r>
              <w:t xml:space="preserve">The Restoration: Zion Delivered and the Kingdom Given to the LORD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Edom’s pride and covenant betrayal meet the LORD’s justice and Israel’s ultimate vindication.</w:t>
      </w:r>
    </w:p>
    <w:p>
      <w:pPr>
        <w:pStyle w:val="BodyText"/>
      </w:pPr>
      <w:r>
        <w:rPr>
          <w:b/>
          <w:bCs/>
        </w:rPr>
        <w:t xml:space="preserve">Primary Claim:</w:t>
      </w:r>
      <w:r>
        <w:t xml:space="preserve"> </w:t>
      </w:r>
      <w:r>
        <w:t xml:space="preserve">The LORD is the sovereign judge of the nations — Edom’s pride and treachery will be repaid in kind, and His covenant people will be vindicated — which means no enemy’s apparent triumph is final, and no act of covenant cruelty goes unaccounted.</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Repent of the pride that mistakes security for sovereignty.</w:t>
      </w:r>
      <w:r>
        <w:t xml:space="preserve"> </w:t>
      </w:r>
      <w:r>
        <w:rPr>
          <w:i/>
          <w:iCs/>
        </w:rPr>
        <w:t xml:space="preserve">(Mind/Belief)</w:t>
      </w:r>
      <w:r>
        <w:t xml:space="preserve"> </w:t>
      </w:r>
      <w:r>
        <w:t xml:space="preserve">Edom’s fatal sin was not primarily cruelty — it was the pride of verses 3–4:</w:t>
      </w:r>
      <w:r>
        <w:t xml:space="preserve"> </w:t>
      </w:r>
      <w:r>
        <w:t xml:space="preserve">“The pride of your heart has deceived you, you who live in the clefts of the rock.”</w:t>
      </w:r>
      <w:r>
        <w:t xml:space="preserve"> </w:t>
      </w:r>
      <w:r>
        <w:t xml:space="preserve">She believed her geography was her salvation. We do the same with our savings accounts, our social standing, our education, our health, or our nation’s power. Obadiah calls this deception — not self-confidence, deception. Examine where you have built your security on something other than the LORD, and name it before Him for what it is: a rock that will not hold.</w:t>
      </w:r>
    </w:p>
    <w:p>
      <w:pPr>
        <w:pStyle w:val="BodyText"/>
      </w:pPr>
      <w:r>
        <w:rPr>
          <w:b/>
          <w:bCs/>
        </w:rPr>
        <w:t xml:space="preserve">2. Feel the weight of what passive complicity costs before God.</w:t>
      </w:r>
      <w:r>
        <w:t xml:space="preserve"> </w:t>
      </w:r>
      <w:r>
        <w:rPr>
          <w:i/>
          <w:iCs/>
        </w:rPr>
        <w:t xml:space="preserve">(Affections/Worship)</w:t>
      </w:r>
      <w:r>
        <w:t xml:space="preserve"> </w:t>
      </w:r>
      <w:r>
        <w:t xml:space="preserve">Verse 11 is the passage’s most quietly devastating verse:</w:t>
      </w:r>
      <w:r>
        <w:t xml:space="preserve"> </w:t>
      </w:r>
      <w:r>
        <w:t xml:space="preserve">“You stood aloof.”</w:t>
      </w:r>
      <w:r>
        <w:t xml:space="preserve"> </w:t>
      </w:r>
      <w:r>
        <w:t xml:space="preserve">Edom did not swing a sword at Jerusalem — she simply watched, and then, incrementally, joined in. The eight prohibitions of verses 12–14 describe a slide from detachment to gloating to active plunder. God counted neutrality in the face of covenant injustice as moral equivalence with the attackers. Sit with that. Where have you</w:t>
      </w:r>
      <w:r>
        <w:t xml:space="preserve"> </w:t>
      </w:r>
      <w:r>
        <w:t xml:space="preserve">“stood aloof”</w:t>
      </w:r>
      <w:r>
        <w:t xml:space="preserve"> </w:t>
      </w:r>
      <w:r>
        <w:t xml:space="preserve">from someone suffering, told yourself you were not responsible, and allowed yourself to drift toward advantage? Obadiah refuses to call that neutrality. Let that refusal do its work in your conscience.</w:t>
      </w:r>
    </w:p>
    <w:p>
      <w:pPr>
        <w:pStyle w:val="BodyText"/>
      </w:pPr>
      <w:r>
        <w:rPr>
          <w:b/>
          <w:bCs/>
        </w:rPr>
        <w:t xml:space="preserve">3. Trust the principle of divine moral symmetry when you cannot see justice operating.</w:t>
      </w:r>
      <w:r>
        <w:t xml:space="preserve"> </w:t>
      </w:r>
      <w:r>
        <w:rPr>
          <w:i/>
          <w:iCs/>
        </w:rPr>
        <w:t xml:space="preserve">(Mind/Belief)</w:t>
      </w:r>
      <w:r>
        <w:t xml:space="preserve"> </w:t>
      </w:r>
      <w:r>
        <w:t xml:space="preserve">Verse 15 is the moral backbone of the universe:</w:t>
      </w:r>
      <w:r>
        <w:t xml:space="preserve"> </w:t>
      </w:r>
      <w:r>
        <w:t xml:space="preserve">“As you have done, it will be done to you; your deeds will return upon your own head.”</w:t>
      </w:r>
      <w:r>
        <w:t xml:space="preserve"> </w:t>
      </w:r>
      <w:r>
        <w:t xml:space="preserve">This is not karma — it is the covenant-keeping, history-governing LORD ensuring that His moral order is not finally suspended. When those who have wronged you appear to flourish, when cruelty goes unpunished, when the powerful seem untouchable — Obadiah is preaching into precisely that experience. The Day of the LORD is not cancelled because it is delayed. Ground your patience in the character of the Judge, not in the visible score.</w:t>
      </w:r>
    </w:p>
    <w:p>
      <w:pPr>
        <w:pStyle w:val="BodyText"/>
      </w:pPr>
      <w:r>
        <w:rPr>
          <w:b/>
          <w:bCs/>
        </w:rPr>
        <w:t xml:space="preserve">4. Worship the God who governs nations for the sake of His covenant people.</w:t>
      </w:r>
      <w:r>
        <w:t xml:space="preserve"> </w:t>
      </w:r>
      <w:r>
        <w:rPr>
          <w:i/>
          <w:iCs/>
        </w:rPr>
        <w:t xml:space="preserve">(Affections/Worship)</w:t>
      </w:r>
      <w:r>
        <w:t xml:space="preserve"> </w:t>
      </w:r>
      <w:r>
        <w:t xml:space="preserve">The entire book is predicated on a staggering assumption: that the LORD is not merely Israel’s tribal deity but the sovereign over all nations — that He summons and dismisses powers, directs alliances, and reverses fortunes in history for covenant purposes. This should produce worship, not merely relief. The God who said to Edom,</w:t>
      </w:r>
      <w:r>
        <w:t xml:space="preserve"> </w:t>
      </w:r>
      <w:r>
        <w:t xml:space="preserve">“I will bring you down”</w:t>
      </w:r>
      <w:r>
        <w:t xml:space="preserve"> </w:t>
      </w:r>
      <w:r>
        <w:t xml:space="preserve">(v. 4), is the same God who has taken your hand in Christ and will not let it go. The nations’ noise is loud; the King’s throne is louder. Let that recalibrate your emotional orientation toward current events, geopolitical fear, or cultural despair.</w:t>
      </w:r>
    </w:p>
    <w:p>
      <w:pPr>
        <w:pStyle w:val="BodyText"/>
      </w:pPr>
      <w:r>
        <w:rPr>
          <w:b/>
          <w:bCs/>
        </w:rPr>
        <w:t xml:space="preserve">5. Live now in light of the kingdom that is already the LORD’s.</w:t>
      </w:r>
      <w:r>
        <w:t xml:space="preserve"> </w:t>
      </w:r>
      <w:r>
        <w:rPr>
          <w:i/>
          <w:iCs/>
        </w:rPr>
        <w:t xml:space="preserve">(Will/Behavior)</w:t>
      </w:r>
      <w:r>
        <w:t xml:space="preserve"> </w:t>
      </w:r>
      <w:r>
        <w:t xml:space="preserve">Obadiah 21 ends not with Israel’s triumph but with a theocratic declaration:</w:t>
      </w:r>
      <w:r>
        <w:t xml:space="preserve"> </w:t>
      </w:r>
      <w:r>
        <w:t xml:space="preserve">“The kingdom will be the LORD’s.”</w:t>
      </w:r>
      <w:r>
        <w:t xml:space="preserve"> </w:t>
      </w:r>
      <w:r>
        <w:t xml:space="preserve">In Christ, that kingdom has broken in. The New Testament draws precisely this line — Acts 15, Revelation 11. The question Obadiah poses to its readers is not merely</w:t>
      </w:r>
      <w:r>
        <w:t xml:space="preserve"> </w:t>
      </w:r>
      <w:r>
        <w:t xml:space="preserve">“Will you survive?”</w:t>
      </w:r>
      <w:r>
        <w:t xml:space="preserve"> </w:t>
      </w:r>
      <w:r>
        <w:t xml:space="preserve">but</w:t>
      </w:r>
      <w:r>
        <w:t xml:space="preserve"> </w:t>
      </w:r>
      <w:r>
        <w:t xml:space="preserve">“Are you living from the reality of whose kingdom this already is?”</w:t>
      </w:r>
      <w:r>
        <w:t xml:space="preserve"> </w:t>
      </w:r>
      <w:r>
        <w:t xml:space="preserve">Concretely: where are you making decisions as though Edom’s rocks were more real than Zion’s deliverers? Identify one area of your life where you are operating as if the outcome is in doubt, and reorient your practical decision-making to the fact that the King has already been crowned.</w:t>
      </w:r>
    </w:p>
    <w:p>
      <w:r>
        <w:pict>
          <v:rect style="width:0;height:1.5pt" o:hralign="center" o:hrstd="t" o:hr="t"/>
        </w:pict>
      </w:r>
    </w:p>
    <w:p>
      <w:pPr>
        <w:pStyle w:val="FirstParagraph"/>
      </w:pPr>
      <w:r>
        <w:rPr>
          <w:b/>
          <w:bCs/>
        </w:rPr>
        <w:t xml:space="preserve">Theological Importance:</w:t>
      </w:r>
      <w:r>
        <w:t xml:space="preserve"> </w:t>
      </w:r>
      <w:r>
        <w:t xml:space="preserve">Obadiah teaches that the LORD is the righteous sovereign over all nations — not merely over Israel, but over every power that operates in history. His moral order is not suspended by apparent injustice; it is deferred and then concentrated in the Day of the LORD. The book also establishes that kinship and covenant proximity intensify rather than excuse moral obligation — Edom’s crime is worse precisely because Jacob was her brother. God’s justice is retributive in the strictest sense: what Edom did will be done to Edom. And His restorative purposes for His covenant people are not contingent on geopolitical fortune — Zion’s restoration is decreed from the same throne that decreed Edom’s destruction.</w:t>
      </w:r>
    </w:p>
    <w:p>
      <w:r>
        <w:pict>
          <v:rect style="width:0;height:1.5pt" o:hralign="center" o:hrstd="t" o:hr="t"/>
        </w:pict>
      </w:r>
    </w:p>
    <w:p>
      <w:pPr>
        <w:pStyle w:val="FirstParagraph"/>
      </w:pPr>
      <w:r>
        <w:rPr>
          <w:b/>
          <w:bCs/>
        </w:rPr>
        <w:t xml:space="preserve">Reformed Theological Significance:</w:t>
      </w:r>
      <w:r>
        <w:t xml:space="preserve"> </w:t>
      </w:r>
      <w:r>
        <w:t xml:space="preserve">Obadiah is a concentrated display of the covenant LORD governing history toward His redemptive purposes — a micro-instance of what Paul describes in Romans 8:28 as all things working together for the good of those He has called. The covenant distinction between Edom (Esau) and Israel (Jacob) recapitulates the elective grace of Genesis 25 —</w:t>
      </w:r>
      <w:r>
        <w:t xml:space="preserve"> </w:t>
      </w:r>
      <w:r>
        <w:t xml:space="preserve">“Jacob I loved, but Esau I hated”</w:t>
      </w:r>
      <w:r>
        <w:t xml:space="preserve"> </w:t>
      </w:r>
      <w:r>
        <w:t xml:space="preserve">(Romans 9:13) — and demonstrates that God’s purposes in election are not thwarted by historical reversal. The eschatological hope of verses 17–21 finds its fulfillment not in a restored national state but in Christ’s kingdom — the true Mount Zion, the true holy mountain, the true deliverers who are His people ruling with Him over all things (Rev. 2:26–27). Obadiah thus preaches sovereign grace, covenant faithfulness, and Christotelic hope in one concentrated burst — the gospel doing work through the vehicle of prophetic judgment and promise.</w:t>
      </w:r>
    </w:p>
    <w:p>
      <w:r>
        <w:pict>
          <v:rect style="width:0;height:1.5pt" o:hralign="center" o:hrstd="t" o:hr="t"/>
        </w:pict>
      </w:r>
    </w:p>
    <w:p>
      <w:pPr>
        <w:pStyle w:val="FirstParagraph"/>
      </w:pPr>
      <w:r>
        <w:rPr>
          <w:b/>
          <w:bCs/>
        </w:rPr>
        <w:t xml:space="preserve">Main Takeaway:</w:t>
      </w:r>
      <w:r>
        <w:t xml:space="preserve"> </w:t>
      </w:r>
      <w:r>
        <w:t xml:space="preserve">The LORD has not lost track of Edom, and He has not lost track of what is being done to His people. Every nation that exalts itself against God’s covenant purposes, every person who mistakes their stronghold for their salvation, every act of watching and gloating and profiting from another’s ruin — all of it is being tallied by the one Judge whose verdict is final and whose timing is His own. And for those in the ruins — He has decreed a holy mountain, a restored inheritance, and a kingdom that will be His. Live from that decree.</w:t>
      </w:r>
    </w:p>
    <w:p>
      <w:r>
        <w:pict>
          <v:rect style="width:0;height:1.5pt" o:hralign="center" o:hrstd="t" o:hr="t"/>
        </w:pict>
      </w:r>
    </w:p>
    <w:bookmarkEnd w:id="15"/>
    <w:bookmarkStart w:id="16" w:name="preachingteaching-pitfalls"/>
    <w:p>
      <w:pPr>
        <w:pStyle w:val="Heading2"/>
      </w:pPr>
      <w:r>
        <w:t xml:space="preserve">Preaching/Teaching Pitfalls</w:t>
      </w:r>
    </w:p>
    <w:p>
      <w:pPr>
        <w:numPr>
          <w:ilvl w:val="0"/>
          <w:numId w:val="1002"/>
        </w:numPr>
      </w:pPr>
      <w:r>
        <w:rPr>
          <w:b/>
          <w:bCs/>
        </w:rPr>
        <w:t xml:space="preserve">Reducing Obadiah to a curiosity or an embarrassment.</w:t>
      </w:r>
      <w:r>
        <w:t xml:space="preserve"> </w:t>
      </w:r>
      <w:r>
        <w:t xml:space="preserve">Many preachers skip Obadiah entirely or treat it as an oddity — a tiny book about an obscure nation with no obvious New Testament connection. This is a failure of canonical nerve. Obadiah is not a footnote; it is a concentrated theological statement about the LORD’s sovereignty over the nations, the moral logic of the Day of the LORD, and covenant faithfulness. Preachers should resist the urge to over-apologize for the book’s anger and instead let its conviction carry.</w:t>
      </w:r>
    </w:p>
    <w:p>
      <w:pPr>
        <w:numPr>
          <w:ilvl w:val="0"/>
          <w:numId w:val="1002"/>
        </w:numPr>
      </w:pPr>
      <w:r>
        <w:rPr>
          <w:b/>
          <w:bCs/>
        </w:rPr>
        <w:t xml:space="preserve">Moralizing Edom’s sin without diagnosing its root.</w:t>
      </w:r>
      <w:r>
        <w:t xml:space="preserve"> </w:t>
      </w:r>
      <w:r>
        <w:t xml:space="preserve">The obvious application of Edom’s active cruelty (vv. 12–14) is</w:t>
      </w:r>
      <w:r>
        <w:t xml:space="preserve"> </w:t>
      </w:r>
      <w:r>
        <w:t xml:space="preserve">“don’t gloat, don’t take advantage of the fallen.”</w:t>
      </w:r>
      <w:r>
        <w:t xml:space="preserve"> </w:t>
      </w:r>
      <w:r>
        <w:t xml:space="preserve">That is true but insufficient. Verses 3–4 establish the root: pride that has deceived the heart — a false confidence in one’s own security structure. Preaching that targets the behaviors of verses 12–14 without diagnosing the pride of verses 3–4 will produce behavioral adjustment without heart transformation. Get to the idol first.</w:t>
      </w:r>
    </w:p>
    <w:p>
      <w:pPr>
        <w:numPr>
          <w:ilvl w:val="0"/>
          <w:numId w:val="1002"/>
        </w:numPr>
      </w:pPr>
      <w:r>
        <w:rPr>
          <w:b/>
          <w:bCs/>
        </w:rPr>
        <w:t xml:space="preserve">Domesticating the Day of the LORD into a comfort-only promise.</w:t>
      </w:r>
      <w:r>
        <w:t xml:space="preserve"> </w:t>
      </w:r>
      <w:r>
        <w:t xml:space="preserve">Verse 15 is a two-edged verse: the Day of the LORD is near</w:t>
      </w:r>
      <w:r>
        <w:t xml:space="preserve"> </w:t>
      </w:r>
      <w:r>
        <w:rPr>
          <w:i/>
          <w:iCs/>
        </w:rPr>
        <w:t xml:space="preserve">for all the nations</w:t>
      </w:r>
      <w:r>
        <w:t xml:space="preserve">, and the principle is retributive for everyone — including those in the pews. Preachers sometimes use the Day of the LORD exclusively as comfort for the suffering (which it is), while failing to let it function as warning for those in Edom’s posture (which it also is). The verse does not allow selective application. The preacher must let it cut in both directions.</w:t>
      </w:r>
    </w:p>
    <w:p>
      <w:pPr>
        <w:numPr>
          <w:ilvl w:val="0"/>
          <w:numId w:val="1002"/>
        </w:numPr>
      </w:pPr>
      <w:r>
        <w:rPr>
          <w:b/>
          <w:bCs/>
        </w:rPr>
        <w:t xml:space="preserve">Over-spiritualizing the restoration promises in a way that evacuates their concreteness.</w:t>
      </w:r>
      <w:r>
        <w:t xml:space="preserve"> </w:t>
      </w:r>
      <w:r>
        <w:t xml:space="preserve">Verses 17–21 are vivid and specific — land, possessions, territories, deliverers. The Reformed instinct to read these christologically and eschatologically is correct, but it should not produce a fog of abstraction that drains the promises of their force. The promises are</w:t>
      </w:r>
      <w:r>
        <w:t xml:space="preserve"> </w:t>
      </w:r>
      <w:r>
        <w:rPr>
          <w:i/>
          <w:iCs/>
        </w:rPr>
        <w:t xml:space="preserve">real</w:t>
      </w:r>
      <w:r>
        <w:t xml:space="preserve"> </w:t>
      </w:r>
      <w:r>
        <w:t xml:space="preserve">— fulfilled in Christ and His kingdom in a way that is more concrete and more comprehensive than any national restoration, not less. Preach the fulfillment as a greater fulfillment, not a spiritualized evacuation.</w:t>
      </w:r>
    </w:p>
    <w:p>
      <w:pPr>
        <w:numPr>
          <w:ilvl w:val="0"/>
          <w:numId w:val="1002"/>
        </w:numPr>
      </w:pPr>
      <w:r>
        <w:rPr>
          <w:b/>
          <w:bCs/>
        </w:rPr>
        <w:t xml:space="preserve">Ignoring the kinship dimension of Edom’s guilt.</w:t>
      </w:r>
      <w:r>
        <w:t xml:space="preserve"> </w:t>
      </w:r>
      <w:r>
        <w:t xml:space="preserve">The phrase</w:t>
      </w:r>
      <w:r>
        <w:t xml:space="preserve"> </w:t>
      </w:r>
      <w:r>
        <w:t xml:space="preserve">“your brother Jacob”</w:t>
      </w:r>
      <w:r>
        <w:t xml:space="preserve"> </w:t>
      </w:r>
      <w:r>
        <w:t xml:space="preserve">(v. 10) is not incidental. Edom’s crime is exponentially worse because it was committed against a brother. This has direct application to the church: betrayal, exploitation, and passive complicity within covenant community — between brothers and sisters — carries a weight before God that betrayal by strangers does not. Preachers who skip this fraternal dimension miss one of the sharpest edges of the text.</w:t>
      </w:r>
    </w:p>
    <w:p>
      <w:pPr>
        <w:numPr>
          <w:ilvl w:val="0"/>
          <w:numId w:val="1002"/>
        </w:numPr>
      </w:pPr>
      <w:r>
        <w:rPr>
          <w:b/>
          <w:bCs/>
        </w:rPr>
        <w:t xml:space="preserve">Treating the book as pure history with no present-tense claim.</w:t>
      </w:r>
      <w:r>
        <w:t xml:space="preserve"> </w:t>
      </w:r>
      <w:r>
        <w:t xml:space="preserve">Edom as a nation-state ceased to exist centuries before Christ. Some preachers, noting this, conclude that Obadiah’s judgment has been exhausted and the book is purely retrospective. But the pivot of verse 15 —</w:t>
      </w:r>
      <w:r>
        <w:t xml:space="preserve"> </w:t>
      </w:r>
      <w:r>
        <w:t xml:space="preserve">“for all the nations is near”</w:t>
      </w:r>
      <w:r>
        <w:t xml:space="preserve"> </w:t>
      </w:r>
      <w:r>
        <w:t xml:space="preserve">— and the universal principle it establishes ensure that Obadiah is not merely a closed historical verdict. The principle operates. Nations still exalt themselves. People still stand aloof. Pride still deceives. The Day of the LORD is still coming. Preach the book as alive.</w:t>
      </w:r>
    </w:p>
    <w:bookmarkEnd w:id="16"/>
    <w:bookmarkEnd w:id="1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2026-07-14T21:06:47Z</dcterms:created>
  <dcterms:modified xsi:type="dcterms:W3CDTF">2026-07-14T21:06:47Z</dcterms:modified>
</cp:coreProperties>
</file>

<file path=docProps/custom.xml><?xml version="1.0" encoding="utf-8"?>
<Properties xmlns="http://schemas.openxmlformats.org/officeDocument/2006/custom-properties" xmlns:vt="http://schemas.openxmlformats.org/officeDocument/2006/docPropsVTypes"/>
</file>